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新疆农业大学机电工程学院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本科毕业设计（论文）指导及答辩规范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二〇二二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年四月）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生毕业设计（论文）是教学计划中重要的综合性实践环节，是培养学生理论联系实际和锻炼独立工作能力的有效手段，为强化本科毕业论文（设计）指导及答辩工作的严肃性和规范性，增强指导及答辩工作的教育教学实效，进一步提高本科毕业论文（设计）质量，按照新农大教发〔2022〕4号关于印发《新疆农业大学本科毕业论文（设计）答辩工作指导意见》的通知精神特制定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一、本科毕业设计（论文）工作组织及职责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本科毕业设计（论文）工作由学院主要领导负总责，教学主管院长具体负责，学院设立本科毕业设计（论文）工作领导小组（以下简称“领导小组”）。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成员主要由学院主要领导、教学副院长、系主任和教学办人员组成。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毕业设计（论文）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整体</w:t>
      </w:r>
      <w:r>
        <w:rPr>
          <w:rFonts w:hint="eastAsia" w:ascii="仿宋" w:hAnsi="仿宋" w:eastAsia="仿宋" w:cs="仿宋"/>
          <w:sz w:val="32"/>
          <w:szCs w:val="32"/>
        </w:rPr>
        <w:t>工作，统一指导思想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毕业</w:t>
      </w:r>
      <w:r>
        <w:rPr>
          <w:rFonts w:hint="eastAsia" w:ascii="仿宋" w:hAnsi="仿宋" w:eastAsia="仿宋" w:cs="仿宋"/>
          <w:sz w:val="32"/>
          <w:szCs w:val="32"/>
        </w:rPr>
        <w:t>毕业设计（论文）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、图纸的基本要求及规范，</w:t>
      </w:r>
      <w:r>
        <w:rPr>
          <w:rFonts w:hint="eastAsia" w:ascii="仿宋" w:hAnsi="仿宋" w:eastAsia="仿宋" w:cs="仿宋"/>
          <w:sz w:val="32"/>
          <w:szCs w:val="32"/>
        </w:rPr>
        <w:t>把好质量关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选派思想政治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素质</w:t>
      </w:r>
      <w:r>
        <w:rPr>
          <w:rFonts w:hint="eastAsia" w:ascii="仿宋" w:hAnsi="仿宋" w:eastAsia="仿宋" w:cs="仿宋"/>
          <w:sz w:val="32"/>
          <w:szCs w:val="32"/>
        </w:rPr>
        <w:t>好，教学和科研水平较高，有较丰富经验并具有讲师及以上技术职称的教师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包含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校外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实习基地及用人单位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职称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专业技术人员及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专家）担任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毕业设计（论文）的指导工作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组织做好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毕业设计（论文）选题动员工作，并按要求开展选题审核工作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组织定期</w:t>
      </w:r>
      <w:r>
        <w:rPr>
          <w:rFonts w:hint="eastAsia" w:ascii="仿宋" w:hAnsi="仿宋" w:eastAsia="仿宋" w:cs="仿宋"/>
          <w:sz w:val="32"/>
          <w:szCs w:val="32"/>
        </w:rPr>
        <w:t>检查指导老师对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毕业设计（论文）的任务完成情况，沟通解决存在的问题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）答辩工作细则及具体安排，设定答辩小组成员，</w:t>
      </w:r>
      <w:r>
        <w:rPr>
          <w:rFonts w:hint="eastAsia" w:ascii="仿宋" w:hAnsi="仿宋" w:eastAsia="仿宋" w:cs="仿宋"/>
          <w:sz w:val="32"/>
          <w:szCs w:val="32"/>
        </w:rPr>
        <w:t>完成的答辩及成绩评定。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二、本科毕业设计（论文）指导细则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1、指导教师的要求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（1）掌握所指导的课题内容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了解并熟悉有关资料，做好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毕业设计（论文）指导相关工作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（2）认真履行职责，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安排充足的时间和学生进行交流，对每位学生的指导和答疑时间每周不少于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毕业设计（论文）质量，每位指导老师指导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学生的数量</w:t>
      </w:r>
      <w:r>
        <w:rPr>
          <w:rFonts w:hint="eastAsia" w:ascii="仿宋" w:hAnsi="仿宋" w:eastAsia="仿宋" w:cs="仿宋"/>
          <w:sz w:val="32"/>
          <w:szCs w:val="32"/>
        </w:rPr>
        <w:t>原则上不超过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最多不超过15人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（4）四支队伍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读博教师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指导的本科生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，由“领导小组”协调，指定</w:t>
      </w:r>
      <w:r>
        <w:rPr>
          <w:rFonts w:hint="eastAsia" w:ascii="仿宋" w:hAnsi="仿宋" w:eastAsia="仿宋" w:cs="仿宋"/>
          <w:sz w:val="32"/>
          <w:szCs w:val="32"/>
        </w:rPr>
        <w:t>安排1-2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校内研究生辅助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学生的日常管理工作。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未认真履行职责，造成不良影响或严重后果的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“领导小组”审议，将予以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该指导教师</w:t>
      </w:r>
      <w:r>
        <w:rPr>
          <w:rFonts w:hint="eastAsia" w:ascii="仿宋" w:hAnsi="仿宋" w:eastAsia="仿宋" w:cs="仿宋"/>
          <w:sz w:val="32"/>
          <w:szCs w:val="32"/>
        </w:rPr>
        <w:t>本届及下一届毕业设计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指导资格。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2、指导教师职责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（1）根据题目要求，制定毕业设计（论文）任务书，明确主要内容和要求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各阶段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的设计任务及时限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成果（包括设计说明书、图纸、论文、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编程</w:t>
      </w:r>
      <w:r>
        <w:rPr>
          <w:rFonts w:hint="eastAsia" w:ascii="仿宋" w:hAnsi="仿宋" w:eastAsia="仿宋" w:cs="仿宋"/>
          <w:sz w:val="32"/>
          <w:szCs w:val="32"/>
        </w:rPr>
        <w:t>等），经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“领导小组”审核</w:t>
      </w:r>
      <w:r>
        <w:rPr>
          <w:rFonts w:hint="eastAsia" w:ascii="仿宋" w:hAnsi="仿宋" w:eastAsia="仿宋" w:cs="仿宋"/>
          <w:sz w:val="32"/>
          <w:szCs w:val="32"/>
        </w:rPr>
        <w:t>后，将任务书下发给学生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按照学院</w:t>
      </w:r>
      <w:r>
        <w:rPr>
          <w:rFonts w:hint="eastAsia" w:ascii="仿宋" w:hAnsi="仿宋" w:eastAsia="仿宋" w:cs="仿宋"/>
          <w:sz w:val="32"/>
          <w:szCs w:val="32"/>
        </w:rPr>
        <w:t>毕业设计（论文）工作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计划安排，</w:t>
      </w:r>
      <w:r>
        <w:rPr>
          <w:rFonts w:hint="eastAsia" w:ascii="仿宋" w:hAnsi="仿宋" w:eastAsia="仿宋" w:cs="仿宋"/>
          <w:sz w:val="32"/>
          <w:szCs w:val="32"/>
        </w:rPr>
        <w:t>向学生介绍工作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流程</w:t>
      </w:r>
      <w:r>
        <w:rPr>
          <w:rFonts w:hint="eastAsia" w:ascii="仿宋" w:hAnsi="仿宋" w:eastAsia="仿宋" w:cs="仿宋"/>
          <w:sz w:val="32"/>
          <w:szCs w:val="32"/>
        </w:rPr>
        <w:t>、写作及研究方法，为学生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参考书目及文献资料，严格要求学生独立完成文献综述、设计说明书、毕业论文的撰写及图纸绘制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（3）针对毕业设计（论文）的内容、技术路线、方案论证等，对学生进行启发式、全面性的指导，及时解决学生遇到的难点及实践中的技术问题，全面掌握学生毕业设计（论文）的质量和进度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（4）结合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学生毕业设计（论文）的全过程，根据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学生所做的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工作量、质量、独立工作能力和态度等做出实事求是的评价，写出评语、给出评定成绩。对不认真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毕业设计（论文）并屡教不改的学生，指导教师有权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向“领导小组”提交书面情况说明，经“领导小组”审议后，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停止其毕业设计（论文），成绩以不及格论处。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（5）核实答辩资格，指导学生做好答辩工作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答辩结束后，及时督促学生对答辩材料进行整理，审查无误后提交学院教学办。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三、毕业设计（论文）答辩规范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根据专业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类别和学生人数成立若干个答辩评委小组，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每个答辩小组至少有1-2名副高及以上职称的成员，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答辩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评委小组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组长、副组长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各一名，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成员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3-5名，秘书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。成员主要以我院教师为主，也可以聘请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承担毕业设计（论文）指导任务的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校外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导师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担任评委。（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答辩评委小组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成员主要分工见附表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。“领导小组”在答辩前召开会议，按照学院各专业毕业设计类别制定评分标准和答辩要求（包括答辩流程、学生答辩PPT、自述和提问时间等）；并在答辩过程中进行督查，严格把好答辩质量关。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1、答辩前准备工作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答辩资格审核。本科学生按照毕业论文（设计）任务书要求，完成毕业实习、设计（论文）的撰写，由指导老师对学生的答辩资格进行审查，具体审查内容参见《机电工程学院本科毕业设计（论文）答辩资格审查表》，经指导教师审核同意后提交“领导小组”，经“领导小组”审核通过后，方可参加答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答辩材料准备。参加答辩的学生应于答辩前3天将审核后的毕业设计（论文）、图纸等隐去导师姓名，将电子版统一提交至学院教学办，教学办根据答辩分组情况进行整理，打包发送至相应的评委。同时，要求所有学生准备好2本毕业设计（论文）、反映设计内容的全部图纸、设计实物、答辩汇报PPT等参加答辩，参加答辩的学生按要求做好相应的材料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答辩会场准备。根据答辩需求，“领导小组”委派教学办工作人员准备具有相应设备、能够满足40人以上可以旁听的多媒体教室或会议室作为答辩会场。会场应整洁卫生，设置答辩席和评委席桌签，摆放评委姓名牌，可采用悬挂横幅或投影投屏等方式突出会场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（4）答辩时间、地点、着装要求的告知。答辩前3天，经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领导小组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审核批准后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教学办工作人员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公布答辩分组情况，告知学生和评委答辩时间、地点和着装要求。答辩评委小组成员和答辩学生应注意着装，仪表庄重，着正装入场。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2、答辩流程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（1）答辩期间，由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答辩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组组长主持会议，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首先介绍评委、说明答辩要求、介绍学生答辩顺序，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宣布答辩开始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然后由答辩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秘书介绍答辩资格审查情况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到场人员情况、递交答辩会议材料等。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学生采用PPT答辩，介绍毕业设计（论文）基本内容，汇报设计（论文）内容3-5分钟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（3）答辩小组成员根据学生汇报情况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向学生提问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，学生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回答评委提问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7-10分钟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至少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提问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个问题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，评委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提问点评应以正向激励和建议为主。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答辩小组根据答辩情况和设计（论文）质量，参照评分标准，采用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讨论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方式对学生答辩情况进行评分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评分小组成员评分的平均值为答辩小组评分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，答辩小组组长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为每篇设计（论文）写出评语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（5）答辩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秘书认真做好答辩记录，并作为毕业（设计）论文档案妥善保管。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3、答辩工作纪律与现场秩序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（1）答辩学生应在安排的答辩时间前30分钟到场，答辩评委小组成员应提前15分钟到场，不得缺席，答辩秘书应在会前做好签到表、打分表。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（2）答辩评委小组成员应在前排中间位置就坐。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（3）现场师生应严格遵守答辩会场纪律，不得在答辩会场随意走动、喧哗、吸烟、接打手机等，不得做与答辩无关的事。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4、答辩后工作要求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（1）答辩小组拟定答辩意见，评定答辩成绩，推荐等级，报学院答辩领导小组复议。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（2）答辩学生针对答辩小组提出的问题，对论文（设计）进行修改完善定稿后存档。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（3）答辩领导小组审议答辩结果，报送答辩成绩。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答辩评委小组成员工作分工情况表</w:t>
      </w:r>
    </w:p>
    <w:tbl>
      <w:tblPr>
        <w:tblStyle w:val="3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答辩组成员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napToGrid w:val="0"/>
              <w:spacing w:line="4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主要分工职责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答辩组组长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主持答辩，答辩前等所有答辩组成员到位后，讨论确定统一的评分标准及要求；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掌握答辩进度，对答辩学生的设计说明书、图纸质量、汇报内容及是否通过等答辩环节进行整体把控；</w:t>
            </w:r>
          </w:p>
          <w:p>
            <w:pPr>
              <w:pStyle w:val="2"/>
              <w:numPr>
                <w:ilvl w:val="0"/>
                <w:numId w:val="1"/>
              </w:numPr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答辩结束后，组织答辩组成员对答辩情况进行评议，并就是否通过，进行讨论打分；</w:t>
            </w:r>
          </w:p>
          <w:p>
            <w:pPr>
              <w:pStyle w:val="2"/>
              <w:snapToGrid w:val="0"/>
              <w:spacing w:line="400" w:lineRule="exact"/>
              <w:ind w:firstLine="0"/>
              <w:rPr>
                <w:rFonts w:ascii="宋体" w:hAnsi="宋体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4.对本组答辩情况向学院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毕业设计（论文）工作领导小组</w:t>
            </w:r>
            <w:r>
              <w:rPr>
                <w:rFonts w:hint="eastAsia" w:ascii="仿宋" w:hAnsi="仿宋" w:eastAsia="仿宋" w:cs="仿宋"/>
                <w:sz w:val="24"/>
              </w:rPr>
              <w:t>做出书面或口头汇报。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答辩组副组长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重点检查设计说明书与图纸的对应性、完整性和合理性等。（如发现设计说明书与图纸吻合程度过低，需及时给答辩组其他成员汇报）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主查图纸</w:t>
            </w: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看图纸，重点检查总装图、部件图以及关键性零件图，批示标记图纸中存在问题，简明、确切地对学生提问。（如发现图纸有剽窃嫌疑、主要图纸视图表达存在重大问题、设计结构完全不合理、缺少主要部件图纸等情况，应及时给答辩组其他成员汇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主看设计说明书成员</w:t>
            </w:r>
          </w:p>
        </w:tc>
        <w:tc>
          <w:tcPr>
            <w:tcW w:w="649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辅助答辩组副组长，重点检查设计说明书设计方案的合理性和设计过程的完整性，并提出相应的修改意见、建议。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答辩组其他成员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snapToGrid w:val="0"/>
              <w:spacing w:line="400" w:lineRule="exact"/>
              <w:ind w:firstLine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剩余图纸及说明书的检查和提问，重点关注学生的答辩状况，对学生汇报的主要设计内容进行提问，以及完成其他工作。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答辩组秘书</w:t>
            </w:r>
          </w:p>
        </w:tc>
        <w:tc>
          <w:tcPr>
            <w:tcW w:w="6495" w:type="dxa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提前30分钟到达答辩现场，做好答辩前准备工作；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将评委打分表及答辩意见成绩表收集好分发答辩评委；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认真、准确、完整做好答辩记录（并要求学生在记录纸上签字），收集打分表并计算答辩平均分；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提醒答辩组长掌握答辩时间；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记录好评委的参会时间，以便计算工作量；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负责学生签字、答辩组组长签字；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答辩结束后，及时按序汇总答辩成绩， 并将相关材料按顺序进行整理、归档。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792C9"/>
    <w:multiLevelType w:val="singleLevel"/>
    <w:tmpl w:val="863792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E1F99D"/>
    <w:multiLevelType w:val="singleLevel"/>
    <w:tmpl w:val="D7E1F9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753D"/>
    <w:rsid w:val="01CF3D6E"/>
    <w:rsid w:val="02197FEC"/>
    <w:rsid w:val="043B7CB5"/>
    <w:rsid w:val="049D1FA3"/>
    <w:rsid w:val="04C14022"/>
    <w:rsid w:val="08167EB9"/>
    <w:rsid w:val="0845244F"/>
    <w:rsid w:val="08844E22"/>
    <w:rsid w:val="0A467155"/>
    <w:rsid w:val="0B9D65EC"/>
    <w:rsid w:val="12BE3627"/>
    <w:rsid w:val="12D67209"/>
    <w:rsid w:val="13E01EBD"/>
    <w:rsid w:val="15143BF4"/>
    <w:rsid w:val="156E7540"/>
    <w:rsid w:val="160B0931"/>
    <w:rsid w:val="173A3BFE"/>
    <w:rsid w:val="18F1322A"/>
    <w:rsid w:val="1AE3334F"/>
    <w:rsid w:val="20C76D56"/>
    <w:rsid w:val="23F76998"/>
    <w:rsid w:val="25066475"/>
    <w:rsid w:val="28C84A31"/>
    <w:rsid w:val="28FC74FE"/>
    <w:rsid w:val="28FD3E21"/>
    <w:rsid w:val="29A973ED"/>
    <w:rsid w:val="2A913247"/>
    <w:rsid w:val="2A9C37B4"/>
    <w:rsid w:val="2BCA74C1"/>
    <w:rsid w:val="2CD51038"/>
    <w:rsid w:val="2D380DA1"/>
    <w:rsid w:val="2EA57534"/>
    <w:rsid w:val="2FF03BDF"/>
    <w:rsid w:val="304C1E1A"/>
    <w:rsid w:val="30B97245"/>
    <w:rsid w:val="330C3BF6"/>
    <w:rsid w:val="3314727A"/>
    <w:rsid w:val="350C3926"/>
    <w:rsid w:val="36B114E8"/>
    <w:rsid w:val="39EF2343"/>
    <w:rsid w:val="3C6A5B02"/>
    <w:rsid w:val="3D75298D"/>
    <w:rsid w:val="3DB66AA5"/>
    <w:rsid w:val="3DCE273D"/>
    <w:rsid w:val="3E617A5D"/>
    <w:rsid w:val="40D9394E"/>
    <w:rsid w:val="42276243"/>
    <w:rsid w:val="43030E0A"/>
    <w:rsid w:val="44C91833"/>
    <w:rsid w:val="46560512"/>
    <w:rsid w:val="47EA440B"/>
    <w:rsid w:val="492C1980"/>
    <w:rsid w:val="49EA38E6"/>
    <w:rsid w:val="4A1B0837"/>
    <w:rsid w:val="4D7C6040"/>
    <w:rsid w:val="4DB64C73"/>
    <w:rsid w:val="4ED41007"/>
    <w:rsid w:val="5000305E"/>
    <w:rsid w:val="547A06F5"/>
    <w:rsid w:val="55C3149D"/>
    <w:rsid w:val="567009A3"/>
    <w:rsid w:val="599A6FAF"/>
    <w:rsid w:val="5AC266A3"/>
    <w:rsid w:val="5B104D89"/>
    <w:rsid w:val="5BBE4FCD"/>
    <w:rsid w:val="5C8D5C67"/>
    <w:rsid w:val="5EF73FDD"/>
    <w:rsid w:val="610511F7"/>
    <w:rsid w:val="618943CD"/>
    <w:rsid w:val="623D2A44"/>
    <w:rsid w:val="633F11E7"/>
    <w:rsid w:val="65FA1131"/>
    <w:rsid w:val="6606753D"/>
    <w:rsid w:val="69927BAF"/>
    <w:rsid w:val="6B923E7E"/>
    <w:rsid w:val="6E91020B"/>
    <w:rsid w:val="701650B7"/>
    <w:rsid w:val="729D2B85"/>
    <w:rsid w:val="730857BF"/>
    <w:rsid w:val="75846F2D"/>
    <w:rsid w:val="77905715"/>
    <w:rsid w:val="78BD55E0"/>
    <w:rsid w:val="78EF46BD"/>
    <w:rsid w:val="7D2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20" w:lineRule="exact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3388</Words>
  <Characters>3421</Characters>
  <Lines>0</Lines>
  <Paragraphs>0</Paragraphs>
  <TotalTime>9</TotalTime>
  <ScaleCrop>false</ScaleCrop>
  <LinksUpToDate>false</LinksUpToDate>
  <CharactersWithSpaces>3424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2022-04-18T04:47:00Z</dcterms:created>
  <dc:creator>绢子</dc:creator>
  <cp:lastModifiedBy>绢子</cp:lastModifiedBy>
  <cp:lastPrinted>2022-04-22T11:14:00Z</cp:lastPrinted>
  <dcterms:modified xsi:type="dcterms:W3CDTF">2022-04-25T08:39:51Z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A33A85822240422384B3490F2111BC8B</vt:lpwstr>
  </property>
</Properties>
</file>